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bidiVisual/>
        <w:tblW w:w="889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240"/>
        <w:gridCol w:w="4650"/>
      </w:tblGrid>
      <w:tr w:rsidR="00D30946" w:rsidTr="00C841CB">
        <w:trPr>
          <w:trHeight w:val="694"/>
        </w:trPr>
        <w:tc>
          <w:tcPr>
            <w:tcW w:w="4240" w:type="dxa"/>
          </w:tcPr>
          <w:p w:rsidR="00D30946" w:rsidRDefault="00D30946" w:rsidP="00C841CB">
            <w:pPr>
              <w:pStyle w:val="a5"/>
              <w:rPr>
                <w:rtl/>
              </w:rPr>
            </w:pPr>
            <w:r>
              <w:rPr>
                <w:noProof/>
                <w:rtl/>
              </w:rPr>
              <w:drawing>
                <wp:inline distT="0" distB="0" distL="0" distR="0">
                  <wp:extent cx="2536161" cy="439479"/>
                  <wp:effectExtent l="19050" t="0" r="0" b="0"/>
                  <wp:docPr id="1" name="صورة 1" descr="D:\الشعار\KTS LOGO CMYK[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شعار\KTS LOGO CMYK[1]310.JPG"/>
                          <pic:cNvPicPr>
                            <a:picLocks noChangeAspect="1" noChangeArrowheads="1"/>
                          </pic:cNvPicPr>
                        </pic:nvPicPr>
                        <pic:blipFill>
                          <a:blip r:embed="rId6" cstate="print"/>
                          <a:srcRect/>
                          <a:stretch>
                            <a:fillRect/>
                          </a:stretch>
                        </pic:blipFill>
                        <pic:spPr bwMode="auto">
                          <a:xfrm>
                            <a:off x="0" y="0"/>
                            <a:ext cx="2536508" cy="439539"/>
                          </a:xfrm>
                          <a:prstGeom prst="rect">
                            <a:avLst/>
                          </a:prstGeom>
                          <a:noFill/>
                          <a:ln w="9525">
                            <a:noFill/>
                            <a:miter lim="800000"/>
                            <a:headEnd/>
                            <a:tailEnd/>
                          </a:ln>
                        </pic:spPr>
                      </pic:pic>
                    </a:graphicData>
                  </a:graphic>
                </wp:inline>
              </w:drawing>
            </w:r>
          </w:p>
        </w:tc>
        <w:tc>
          <w:tcPr>
            <w:tcW w:w="4650" w:type="dxa"/>
          </w:tcPr>
          <w:p w:rsidR="00D30946" w:rsidRDefault="00D30946" w:rsidP="00C841CB">
            <w:pPr>
              <w:pStyle w:val="a5"/>
              <w:tabs>
                <w:tab w:val="clear" w:pos="4153"/>
                <w:tab w:val="clear" w:pos="8306"/>
              </w:tabs>
              <w:bidi w:val="0"/>
              <w:rPr>
                <w:b/>
                <w:bCs/>
                <w:color w:val="0070C0"/>
              </w:rPr>
            </w:pPr>
            <w:r>
              <w:rPr>
                <w:noProof/>
              </w:rPr>
              <w:drawing>
                <wp:inline distT="0" distB="0" distL="0" distR="0">
                  <wp:extent cx="1809750" cy="442672"/>
                  <wp:effectExtent l="19050" t="0" r="0" b="0"/>
                  <wp:docPr id="2" name="صورة 2" descr="D:\الشعار\T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الشعار\TI.bmp"/>
                          <pic:cNvPicPr>
                            <a:picLocks noChangeAspect="1" noChangeArrowheads="1"/>
                          </pic:cNvPicPr>
                        </pic:nvPicPr>
                        <pic:blipFill>
                          <a:blip r:embed="rId7" cstate="print"/>
                          <a:srcRect/>
                          <a:stretch>
                            <a:fillRect/>
                          </a:stretch>
                        </pic:blipFill>
                        <pic:spPr bwMode="auto">
                          <a:xfrm>
                            <a:off x="0" y="0"/>
                            <a:ext cx="1835372" cy="448939"/>
                          </a:xfrm>
                          <a:prstGeom prst="rect">
                            <a:avLst/>
                          </a:prstGeom>
                          <a:noFill/>
                          <a:ln w="9525">
                            <a:noFill/>
                            <a:miter lim="800000"/>
                            <a:headEnd/>
                            <a:tailEnd/>
                          </a:ln>
                        </pic:spPr>
                      </pic:pic>
                    </a:graphicData>
                  </a:graphic>
                </wp:inline>
              </w:drawing>
            </w:r>
          </w:p>
          <w:p w:rsidR="00D30946" w:rsidRPr="00640F93" w:rsidRDefault="00D30946" w:rsidP="00C841CB">
            <w:pPr>
              <w:pStyle w:val="a5"/>
              <w:tabs>
                <w:tab w:val="clear" w:pos="4153"/>
                <w:tab w:val="clear" w:pos="8306"/>
              </w:tabs>
              <w:bidi w:val="0"/>
              <w:ind w:left="1027"/>
              <w:rPr>
                <w:rFonts w:ascii="Wide Latin" w:hAnsi="Wide Latin"/>
              </w:rPr>
            </w:pPr>
            <w:r w:rsidRPr="00640F93">
              <w:rPr>
                <w:rFonts w:ascii="Wide Latin" w:hAnsi="Wide Latin"/>
                <w:color w:val="0070C0"/>
              </w:rPr>
              <w:t>Kuwait</w:t>
            </w:r>
          </w:p>
        </w:tc>
      </w:tr>
    </w:tbl>
    <w:p w:rsidR="00D30946" w:rsidRDefault="00D30946" w:rsidP="00263DBC">
      <w:pPr>
        <w:spacing w:after="120" w:line="360" w:lineRule="auto"/>
        <w:jc w:val="center"/>
        <w:outlineLvl w:val="1"/>
        <w:rPr>
          <w:rFonts w:asciiTheme="majorBidi" w:hAnsiTheme="majorBidi" w:cstheme="majorBidi"/>
          <w:sz w:val="28"/>
          <w:szCs w:val="28"/>
          <w:u w:val="single"/>
          <w:rtl/>
        </w:rPr>
      </w:pPr>
    </w:p>
    <w:p w:rsidR="005F6CB2" w:rsidRDefault="005F6CB2" w:rsidP="005F6CB2">
      <w:pPr>
        <w:spacing w:after="120" w:line="360" w:lineRule="auto"/>
        <w:jc w:val="center"/>
        <w:outlineLvl w:val="1"/>
        <w:rPr>
          <w:rFonts w:ascii="Tahoma" w:hAnsi="Tahoma" w:cs="Tahoma"/>
        </w:rPr>
      </w:pPr>
      <w:r>
        <w:rPr>
          <w:rFonts w:ascii="Tahoma" w:hAnsi="Tahoma" w:cs="Tahoma"/>
          <w:rtl/>
        </w:rPr>
        <w:t>المفوضية الأهلية لشفافية الانتخابات</w:t>
      </w:r>
    </w:p>
    <w:p w:rsidR="0049379E" w:rsidRPr="005F6CB2" w:rsidRDefault="0049379E" w:rsidP="00B61246">
      <w:pPr>
        <w:spacing w:after="120" w:line="360" w:lineRule="auto"/>
        <w:jc w:val="center"/>
        <w:outlineLvl w:val="1"/>
        <w:rPr>
          <w:rFonts w:asciiTheme="majorBidi" w:hAnsiTheme="majorBidi" w:cstheme="majorBidi"/>
          <w:b/>
          <w:bCs/>
          <w:sz w:val="32"/>
          <w:szCs w:val="32"/>
          <w:rtl/>
        </w:rPr>
      </w:pPr>
      <w:r w:rsidRPr="005F6CB2">
        <w:rPr>
          <w:rFonts w:asciiTheme="majorBidi" w:hAnsiTheme="majorBidi" w:cstheme="majorBidi"/>
          <w:b/>
          <w:bCs/>
          <w:sz w:val="32"/>
          <w:szCs w:val="32"/>
          <w:rtl/>
        </w:rPr>
        <w:t>أسس ومعايير مراقبة الانتخابات وقواعد سلوك المراقبين المتطوعين</w:t>
      </w:r>
    </w:p>
    <w:p w:rsidR="0049379E" w:rsidRPr="00AA194C" w:rsidRDefault="0049379E" w:rsidP="00B61246">
      <w:pPr>
        <w:spacing w:line="360" w:lineRule="auto"/>
        <w:ind w:firstLine="567"/>
        <w:jc w:val="lowKashida"/>
        <w:rPr>
          <w:rFonts w:asciiTheme="majorBidi" w:hAnsiTheme="majorBidi" w:cstheme="majorBidi"/>
          <w:sz w:val="28"/>
          <w:szCs w:val="28"/>
          <w:rtl/>
        </w:rPr>
      </w:pPr>
      <w:r w:rsidRPr="00AA194C">
        <w:rPr>
          <w:rFonts w:asciiTheme="majorBidi" w:hAnsiTheme="majorBidi" w:cstheme="majorBidi"/>
          <w:sz w:val="28"/>
          <w:szCs w:val="28"/>
          <w:rtl/>
        </w:rPr>
        <w:t>على "المفوضية" الالتزام بمجموعة من الأسس والمعايير المعنية بمراقبة الانتخابات الواردة أدناه، وهي بمثابة قواعد سلوك يجب على الأفراد المتطوعين في "المفوضية" الالتزام بها، وهي على النحو التالي:</w:t>
      </w:r>
    </w:p>
    <w:p w:rsidR="0049379E" w:rsidRPr="00AA194C" w:rsidRDefault="0049379E" w:rsidP="00263DBC">
      <w:pPr>
        <w:pStyle w:val="a4"/>
        <w:numPr>
          <w:ilvl w:val="0"/>
          <w:numId w:val="3"/>
        </w:numPr>
        <w:spacing w:line="360" w:lineRule="auto"/>
        <w:jc w:val="lowKashida"/>
        <w:rPr>
          <w:rFonts w:asciiTheme="majorBidi" w:hAnsiTheme="majorBidi" w:cstheme="majorBidi"/>
          <w:sz w:val="28"/>
          <w:szCs w:val="28"/>
          <w:rtl/>
        </w:rPr>
      </w:pPr>
      <w:r w:rsidRPr="00AA194C">
        <w:rPr>
          <w:rFonts w:asciiTheme="majorBidi" w:hAnsiTheme="majorBidi" w:cstheme="majorBidi"/>
          <w:b/>
          <w:bCs/>
          <w:sz w:val="28"/>
          <w:szCs w:val="28"/>
          <w:rtl/>
        </w:rPr>
        <w:t xml:space="preserve">الحياديــــة: </w:t>
      </w:r>
      <w:r w:rsidRPr="00AA194C">
        <w:rPr>
          <w:rFonts w:asciiTheme="majorBidi" w:hAnsiTheme="majorBidi" w:cstheme="majorBidi"/>
          <w:sz w:val="28"/>
          <w:szCs w:val="28"/>
          <w:rtl/>
        </w:rPr>
        <w:t>ممارسة رصد الانتخابات بتجرد ودون انحياز إلى أي من المرشحين،  وعدم الارتباط المالي أو التنظيمي أو الإداري لأعمال "المفوضية"  بأي من الجماعات السياسية أو الفئات الاجتماعية</w:t>
      </w:r>
      <w:r w:rsidR="00012F05" w:rsidRPr="00AA194C">
        <w:rPr>
          <w:rFonts w:asciiTheme="majorBidi" w:hAnsiTheme="majorBidi" w:cstheme="majorBidi"/>
          <w:sz w:val="28"/>
          <w:szCs w:val="28"/>
          <w:rtl/>
        </w:rPr>
        <w:t xml:space="preserve"> </w:t>
      </w:r>
      <w:r w:rsidR="00263DBC">
        <w:rPr>
          <w:rFonts w:asciiTheme="majorBidi" w:hAnsiTheme="majorBidi" w:cstheme="majorBidi" w:hint="cs"/>
          <w:sz w:val="28"/>
          <w:szCs w:val="28"/>
          <w:rtl/>
        </w:rPr>
        <w:t>الفاعلة</w:t>
      </w:r>
      <w:r w:rsidR="00012F05" w:rsidRPr="00AA194C">
        <w:rPr>
          <w:rFonts w:asciiTheme="majorBidi" w:hAnsiTheme="majorBidi" w:cstheme="majorBidi"/>
          <w:sz w:val="28"/>
          <w:szCs w:val="28"/>
          <w:rtl/>
        </w:rPr>
        <w:t xml:space="preserve"> انتخابيا</w:t>
      </w:r>
      <w:r w:rsidRPr="00AA194C">
        <w:rPr>
          <w:rFonts w:asciiTheme="majorBidi" w:hAnsiTheme="majorBidi" w:cstheme="majorBidi"/>
          <w:sz w:val="28"/>
          <w:szCs w:val="28"/>
          <w:rtl/>
        </w:rPr>
        <w:t>.</w:t>
      </w:r>
    </w:p>
    <w:p w:rsidR="0049379E" w:rsidRPr="00AA194C" w:rsidRDefault="0049379E" w:rsidP="00B61246">
      <w:pPr>
        <w:pStyle w:val="a4"/>
        <w:numPr>
          <w:ilvl w:val="0"/>
          <w:numId w:val="3"/>
        </w:numPr>
        <w:spacing w:line="360" w:lineRule="auto"/>
        <w:jc w:val="lowKashida"/>
        <w:rPr>
          <w:rFonts w:asciiTheme="majorBidi" w:hAnsiTheme="majorBidi" w:cstheme="majorBidi"/>
          <w:sz w:val="28"/>
          <w:szCs w:val="28"/>
          <w:rtl/>
        </w:rPr>
      </w:pPr>
      <w:r w:rsidRPr="00AA194C">
        <w:rPr>
          <w:rFonts w:asciiTheme="majorBidi" w:hAnsiTheme="majorBidi" w:cstheme="majorBidi"/>
          <w:b/>
          <w:bCs/>
          <w:sz w:val="28"/>
          <w:szCs w:val="28"/>
          <w:rtl/>
        </w:rPr>
        <w:t xml:space="preserve">الشموليـــة: </w:t>
      </w:r>
      <w:r w:rsidRPr="00AA194C">
        <w:rPr>
          <w:rFonts w:asciiTheme="majorBidi" w:hAnsiTheme="majorBidi" w:cstheme="majorBidi"/>
          <w:sz w:val="28"/>
          <w:szCs w:val="28"/>
          <w:rtl/>
        </w:rPr>
        <w:t xml:space="preserve">الأخذ بعين الاعتبار جميع العوامل المتعلقة بأي من العمليات الانتخابية أثناء عملية المراقبة، وتوضيح الجوانب التي تمكنت من رصدها، والدوائر والمناطق التي شملتها عملية رصد الملاحظات، وأن تغطي الملاحظات كافة الجوانب الإيجابية والسلبية. </w:t>
      </w:r>
    </w:p>
    <w:p w:rsidR="0049379E" w:rsidRPr="00AA194C" w:rsidRDefault="0049379E" w:rsidP="00B61246">
      <w:pPr>
        <w:pStyle w:val="a4"/>
        <w:numPr>
          <w:ilvl w:val="0"/>
          <w:numId w:val="3"/>
        </w:numPr>
        <w:spacing w:line="360" w:lineRule="auto"/>
        <w:jc w:val="lowKashida"/>
        <w:rPr>
          <w:rFonts w:asciiTheme="majorBidi" w:hAnsiTheme="majorBidi" w:cstheme="majorBidi"/>
          <w:sz w:val="28"/>
          <w:szCs w:val="28"/>
          <w:rtl/>
        </w:rPr>
      </w:pPr>
      <w:r w:rsidRPr="00AA194C">
        <w:rPr>
          <w:rFonts w:asciiTheme="majorBidi" w:hAnsiTheme="majorBidi" w:cstheme="majorBidi"/>
          <w:b/>
          <w:bCs/>
          <w:sz w:val="28"/>
          <w:szCs w:val="28"/>
          <w:rtl/>
        </w:rPr>
        <w:t>المؤسس</w:t>
      </w:r>
      <w:r w:rsidR="00263DBC">
        <w:rPr>
          <w:rFonts w:asciiTheme="majorBidi" w:hAnsiTheme="majorBidi" w:cstheme="majorBidi" w:hint="cs"/>
          <w:b/>
          <w:bCs/>
          <w:sz w:val="28"/>
          <w:szCs w:val="28"/>
          <w:rtl/>
        </w:rPr>
        <w:t>ـ</w:t>
      </w:r>
      <w:r w:rsidRPr="00AA194C">
        <w:rPr>
          <w:rFonts w:asciiTheme="majorBidi" w:hAnsiTheme="majorBidi" w:cstheme="majorBidi"/>
          <w:b/>
          <w:bCs/>
          <w:sz w:val="28"/>
          <w:szCs w:val="28"/>
          <w:rtl/>
        </w:rPr>
        <w:t xml:space="preserve">ية: </w:t>
      </w:r>
      <w:r w:rsidRPr="00AA194C">
        <w:rPr>
          <w:rFonts w:asciiTheme="majorBidi" w:hAnsiTheme="majorBidi" w:cstheme="majorBidi"/>
          <w:sz w:val="28"/>
          <w:szCs w:val="28"/>
          <w:rtl/>
        </w:rPr>
        <w:t>يجب أن تصدر أية تصريحات حول سير العمليات الانتخابية من قبل الشخص المخول بالحديث نيابة عن "المفوضية" وليس الأفراد المتطوعين في أعمالها.</w:t>
      </w:r>
    </w:p>
    <w:p w:rsidR="0049379E" w:rsidRPr="00AA194C" w:rsidRDefault="0049379E" w:rsidP="00B61246">
      <w:pPr>
        <w:pStyle w:val="a4"/>
        <w:numPr>
          <w:ilvl w:val="0"/>
          <w:numId w:val="3"/>
        </w:numPr>
        <w:spacing w:line="360" w:lineRule="auto"/>
        <w:jc w:val="lowKashida"/>
        <w:rPr>
          <w:rFonts w:asciiTheme="majorBidi" w:hAnsiTheme="majorBidi" w:cstheme="majorBidi"/>
          <w:b/>
          <w:bCs/>
          <w:sz w:val="28"/>
          <w:szCs w:val="28"/>
          <w:rtl/>
        </w:rPr>
      </w:pPr>
      <w:r w:rsidRPr="00AA194C">
        <w:rPr>
          <w:rFonts w:asciiTheme="majorBidi" w:hAnsiTheme="majorBidi" w:cstheme="majorBidi"/>
          <w:b/>
          <w:bCs/>
          <w:sz w:val="28"/>
          <w:szCs w:val="28"/>
          <w:rtl/>
        </w:rPr>
        <w:t>الشفافي</w:t>
      </w:r>
      <w:r w:rsidR="00263DBC">
        <w:rPr>
          <w:rFonts w:asciiTheme="majorBidi" w:hAnsiTheme="majorBidi" w:cstheme="majorBidi" w:hint="cs"/>
          <w:b/>
          <w:bCs/>
          <w:sz w:val="28"/>
          <w:szCs w:val="28"/>
          <w:rtl/>
        </w:rPr>
        <w:t>ــــ</w:t>
      </w:r>
      <w:r w:rsidRPr="00AA194C">
        <w:rPr>
          <w:rFonts w:asciiTheme="majorBidi" w:hAnsiTheme="majorBidi" w:cstheme="majorBidi"/>
          <w:b/>
          <w:bCs/>
          <w:sz w:val="28"/>
          <w:szCs w:val="28"/>
          <w:rtl/>
        </w:rPr>
        <w:t xml:space="preserve">ة: </w:t>
      </w:r>
      <w:r w:rsidRPr="00AA194C">
        <w:rPr>
          <w:rFonts w:asciiTheme="majorBidi" w:hAnsiTheme="majorBidi" w:cstheme="majorBidi"/>
          <w:sz w:val="28"/>
          <w:szCs w:val="28"/>
          <w:rtl/>
        </w:rPr>
        <w:t>الإفصاح عن طرق رصد المعلومات المتعلقة بمراقبة الانتخابات، والتحليلات التي اعتمدت عليها، والمنهجية المتبعة في ذلك.</w:t>
      </w:r>
      <w:r w:rsidRPr="00AA194C">
        <w:rPr>
          <w:rFonts w:asciiTheme="majorBidi" w:hAnsiTheme="majorBidi" w:cstheme="majorBidi"/>
          <w:b/>
          <w:bCs/>
          <w:sz w:val="28"/>
          <w:szCs w:val="28"/>
          <w:rtl/>
        </w:rPr>
        <w:t xml:space="preserve"> </w:t>
      </w:r>
    </w:p>
    <w:p w:rsidR="0049379E" w:rsidRPr="00AA194C" w:rsidRDefault="0049379E" w:rsidP="00B61246">
      <w:pPr>
        <w:pStyle w:val="a4"/>
        <w:numPr>
          <w:ilvl w:val="0"/>
          <w:numId w:val="3"/>
        </w:numPr>
        <w:spacing w:line="360" w:lineRule="auto"/>
        <w:jc w:val="lowKashida"/>
        <w:rPr>
          <w:rFonts w:asciiTheme="majorBidi" w:hAnsiTheme="majorBidi" w:cstheme="majorBidi"/>
          <w:b/>
          <w:bCs/>
          <w:sz w:val="28"/>
          <w:szCs w:val="28"/>
          <w:rtl/>
        </w:rPr>
      </w:pPr>
      <w:r w:rsidRPr="00AA194C">
        <w:rPr>
          <w:rFonts w:asciiTheme="majorBidi" w:hAnsiTheme="majorBidi" w:cstheme="majorBidi"/>
          <w:b/>
          <w:bCs/>
          <w:sz w:val="28"/>
          <w:szCs w:val="28"/>
          <w:rtl/>
        </w:rPr>
        <w:t xml:space="preserve">الدقـــــــــة: </w:t>
      </w:r>
      <w:r w:rsidRPr="00AA194C">
        <w:rPr>
          <w:rFonts w:asciiTheme="majorBidi" w:hAnsiTheme="majorBidi" w:cstheme="majorBidi"/>
          <w:sz w:val="28"/>
          <w:szCs w:val="28"/>
          <w:rtl/>
        </w:rPr>
        <w:t>الاعتماد على معلومات دقيقة وغير مشكوك فيها في عملية المراقبة.</w:t>
      </w:r>
      <w:r w:rsidRPr="00AA194C">
        <w:rPr>
          <w:rFonts w:asciiTheme="majorBidi" w:hAnsiTheme="majorBidi" w:cstheme="majorBidi"/>
          <w:b/>
          <w:bCs/>
          <w:sz w:val="28"/>
          <w:szCs w:val="28"/>
          <w:rtl/>
        </w:rPr>
        <w:t xml:space="preserve"> </w:t>
      </w:r>
    </w:p>
    <w:p w:rsidR="0049379E" w:rsidRPr="00AA194C" w:rsidRDefault="0049379E" w:rsidP="00263DBC">
      <w:pPr>
        <w:pStyle w:val="a4"/>
        <w:numPr>
          <w:ilvl w:val="0"/>
          <w:numId w:val="3"/>
        </w:numPr>
        <w:spacing w:line="360" w:lineRule="auto"/>
        <w:jc w:val="lowKashida"/>
        <w:rPr>
          <w:rFonts w:asciiTheme="majorBidi" w:hAnsiTheme="majorBidi" w:cstheme="majorBidi"/>
          <w:sz w:val="28"/>
          <w:szCs w:val="28"/>
          <w:rtl/>
        </w:rPr>
      </w:pPr>
      <w:r w:rsidRPr="00AA194C">
        <w:rPr>
          <w:rFonts w:asciiTheme="majorBidi" w:hAnsiTheme="majorBidi" w:cstheme="majorBidi"/>
          <w:b/>
          <w:bCs/>
          <w:sz w:val="28"/>
          <w:szCs w:val="28"/>
          <w:rtl/>
        </w:rPr>
        <w:t xml:space="preserve">المهنيـــــة: </w:t>
      </w:r>
      <w:r w:rsidRPr="00AA194C">
        <w:rPr>
          <w:rFonts w:asciiTheme="majorBidi" w:hAnsiTheme="majorBidi" w:cstheme="majorBidi"/>
          <w:sz w:val="28"/>
          <w:szCs w:val="28"/>
          <w:rtl/>
        </w:rPr>
        <w:t xml:space="preserve">الالتزام بمبادئ العمل المهني والموضوعي، دون الشخصي، والعمل بعيداً عن العشوائية والانتقائية في تقويم سير العملية الانتخابيّة. </w:t>
      </w:r>
    </w:p>
    <w:p w:rsidR="0049379E" w:rsidRPr="00AA194C" w:rsidRDefault="0049379E" w:rsidP="00B61246">
      <w:pPr>
        <w:pStyle w:val="a4"/>
        <w:numPr>
          <w:ilvl w:val="0"/>
          <w:numId w:val="3"/>
        </w:numPr>
        <w:spacing w:line="360" w:lineRule="auto"/>
        <w:jc w:val="lowKashida"/>
        <w:rPr>
          <w:rFonts w:asciiTheme="majorBidi" w:hAnsiTheme="majorBidi" w:cstheme="majorBidi"/>
          <w:b/>
          <w:bCs/>
          <w:sz w:val="28"/>
          <w:szCs w:val="28"/>
          <w:rtl/>
        </w:rPr>
      </w:pPr>
      <w:r w:rsidRPr="00AA194C">
        <w:rPr>
          <w:rFonts w:asciiTheme="majorBidi" w:hAnsiTheme="majorBidi" w:cstheme="majorBidi"/>
          <w:b/>
          <w:bCs/>
          <w:sz w:val="28"/>
          <w:szCs w:val="28"/>
          <w:rtl/>
        </w:rPr>
        <w:t xml:space="preserve">الالتزام بالقوانين: </w:t>
      </w:r>
      <w:r w:rsidRPr="00AA194C">
        <w:rPr>
          <w:rFonts w:asciiTheme="majorBidi" w:hAnsiTheme="majorBidi" w:cstheme="majorBidi"/>
          <w:sz w:val="28"/>
          <w:szCs w:val="28"/>
          <w:rtl/>
        </w:rPr>
        <w:t>يحترم جميع المتطوعين في "المفوضية" سيادة القانون والحفاظ على النظام العام بالإضافة إلى تنفيذ أحكام القوانين والأنظمة.</w:t>
      </w:r>
      <w:r w:rsidRPr="00AA194C">
        <w:rPr>
          <w:rFonts w:asciiTheme="majorBidi" w:hAnsiTheme="majorBidi" w:cstheme="majorBidi"/>
          <w:b/>
          <w:bCs/>
          <w:sz w:val="28"/>
          <w:szCs w:val="28"/>
          <w:rtl/>
        </w:rPr>
        <w:t>   </w:t>
      </w:r>
    </w:p>
    <w:p w:rsidR="00901F34" w:rsidRPr="00B61246" w:rsidRDefault="0049379E" w:rsidP="00B61246">
      <w:pPr>
        <w:pStyle w:val="a4"/>
        <w:numPr>
          <w:ilvl w:val="0"/>
          <w:numId w:val="3"/>
        </w:numPr>
        <w:spacing w:after="120" w:line="360" w:lineRule="auto"/>
        <w:jc w:val="lowKashida"/>
        <w:outlineLvl w:val="1"/>
        <w:rPr>
          <w:rFonts w:asciiTheme="majorBidi" w:hAnsiTheme="majorBidi" w:cstheme="majorBidi"/>
          <w:sz w:val="28"/>
          <w:szCs w:val="28"/>
        </w:rPr>
      </w:pPr>
      <w:r w:rsidRPr="00B61246">
        <w:rPr>
          <w:rFonts w:asciiTheme="majorBidi" w:hAnsiTheme="majorBidi" w:cstheme="majorBidi"/>
          <w:b/>
          <w:bCs/>
          <w:sz w:val="28"/>
          <w:szCs w:val="28"/>
          <w:rtl/>
        </w:rPr>
        <w:t xml:space="preserve">تجنب تعارض المصالح: </w:t>
      </w:r>
      <w:r w:rsidRPr="00B61246">
        <w:rPr>
          <w:rFonts w:asciiTheme="majorBidi" w:hAnsiTheme="majorBidi" w:cstheme="majorBidi"/>
          <w:sz w:val="28"/>
          <w:szCs w:val="28"/>
          <w:rtl/>
        </w:rPr>
        <w:t>يجب على كل متطوع في "المفوضية"  الإفصاح في أول يوم لتطوعه عن أي تعارض محتمل للمصالح بين تطوعه وبين أي من المرشحين في الانتخابات، ويتم الإفصاح بتعبئة الاستمارة المخصصة لذلك، وتقديمها إلى رئيس الجمعية، وعلى المتطوع – في هذه الحالة – عدم المشاركة في أي نشاط أو تقويم يتعلق بحالة ينطبق عليها "تعارض المصالح".</w:t>
      </w:r>
    </w:p>
    <w:sectPr w:rsidR="00901F34" w:rsidRPr="00B61246" w:rsidSect="00D30946">
      <w:pgSz w:w="12240" w:h="15840"/>
      <w:pgMar w:top="709" w:right="1800" w:bottom="42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306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53DFA"/>
    <w:multiLevelType w:val="hybridMultilevel"/>
    <w:tmpl w:val="AA90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74EF8"/>
    <w:multiLevelType w:val="hybridMultilevel"/>
    <w:tmpl w:val="1110086C"/>
    <w:lvl w:ilvl="0" w:tplc="04090013">
      <w:start w:val="1"/>
      <w:numFmt w:val="arabicAlpha"/>
      <w:lvlText w:val="%1-"/>
      <w:lvlJc w:val="center"/>
      <w:pPr>
        <w:tabs>
          <w:tab w:val="num" w:pos="720"/>
        </w:tabs>
        <w:ind w:left="720" w:hanging="360"/>
      </w:pPr>
    </w:lvl>
    <w:lvl w:ilvl="1" w:tplc="C82A99E6">
      <w:start w:val="1"/>
      <w:numFmt w:val="bullet"/>
      <w:lvlText w:val="–"/>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DA33FF"/>
    <w:multiLevelType w:val="hybridMultilevel"/>
    <w:tmpl w:val="4D8E9458"/>
    <w:lvl w:ilvl="0" w:tplc="B9FEB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46D31"/>
    <w:multiLevelType w:val="hybridMultilevel"/>
    <w:tmpl w:val="D5746334"/>
    <w:lvl w:ilvl="0" w:tplc="3948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00AFD"/>
    <w:multiLevelType w:val="hybridMultilevel"/>
    <w:tmpl w:val="8F94B0A6"/>
    <w:lvl w:ilvl="0" w:tplc="D0BC6038">
      <w:start w:val="1"/>
      <w:numFmt w:val="decimal"/>
      <w:lvlText w:val="%1)"/>
      <w:lvlJc w:val="left"/>
      <w:pPr>
        <w:tabs>
          <w:tab w:val="num" w:pos="567"/>
        </w:tabs>
        <w:ind w:left="567"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9379E"/>
    <w:rsid w:val="00012F05"/>
    <w:rsid w:val="00152102"/>
    <w:rsid w:val="0016169B"/>
    <w:rsid w:val="00263DBC"/>
    <w:rsid w:val="003E454E"/>
    <w:rsid w:val="00405F5B"/>
    <w:rsid w:val="004364B4"/>
    <w:rsid w:val="004806F9"/>
    <w:rsid w:val="0049379E"/>
    <w:rsid w:val="004B5838"/>
    <w:rsid w:val="004D52B2"/>
    <w:rsid w:val="005B3B62"/>
    <w:rsid w:val="005F6CB2"/>
    <w:rsid w:val="006A76C3"/>
    <w:rsid w:val="0071226C"/>
    <w:rsid w:val="00745AC1"/>
    <w:rsid w:val="007D2FBA"/>
    <w:rsid w:val="0088580C"/>
    <w:rsid w:val="00901F34"/>
    <w:rsid w:val="009C0E35"/>
    <w:rsid w:val="009F4BAF"/>
    <w:rsid w:val="00AA194C"/>
    <w:rsid w:val="00B43AC0"/>
    <w:rsid w:val="00B61246"/>
    <w:rsid w:val="00B64901"/>
    <w:rsid w:val="00B77A10"/>
    <w:rsid w:val="00BE2AD4"/>
    <w:rsid w:val="00C01FEB"/>
    <w:rsid w:val="00CA671D"/>
    <w:rsid w:val="00D30946"/>
    <w:rsid w:val="00D534E9"/>
    <w:rsid w:val="00D63356"/>
    <w:rsid w:val="00DE79C3"/>
    <w:rsid w:val="00F818C6"/>
    <w:rsid w:val="00FB6C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9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379E"/>
    <w:rPr>
      <w:rFonts w:ascii="Tahoma" w:hAnsi="Tahoma" w:cs="Tahoma"/>
      <w:sz w:val="16"/>
      <w:szCs w:val="16"/>
    </w:rPr>
  </w:style>
  <w:style w:type="character" w:customStyle="1" w:styleId="Char">
    <w:name w:val="نص في بالون Char"/>
    <w:basedOn w:val="a0"/>
    <w:link w:val="a3"/>
    <w:uiPriority w:val="99"/>
    <w:semiHidden/>
    <w:rsid w:val="0049379E"/>
    <w:rPr>
      <w:rFonts w:ascii="Tahoma" w:eastAsia="Times New Roman" w:hAnsi="Tahoma" w:cs="Tahoma"/>
      <w:sz w:val="16"/>
      <w:szCs w:val="16"/>
    </w:rPr>
  </w:style>
  <w:style w:type="paragraph" w:styleId="a4">
    <w:name w:val="List Paragraph"/>
    <w:basedOn w:val="a"/>
    <w:uiPriority w:val="34"/>
    <w:qFormat/>
    <w:rsid w:val="00012F05"/>
    <w:pPr>
      <w:ind w:left="720"/>
      <w:contextualSpacing/>
    </w:pPr>
  </w:style>
  <w:style w:type="paragraph" w:styleId="a5">
    <w:name w:val="header"/>
    <w:basedOn w:val="a"/>
    <w:link w:val="Char0"/>
    <w:uiPriority w:val="99"/>
    <w:unhideWhenUsed/>
    <w:rsid w:val="00D30946"/>
    <w:pPr>
      <w:tabs>
        <w:tab w:val="center" w:pos="4153"/>
        <w:tab w:val="right" w:pos="8306"/>
      </w:tabs>
    </w:pPr>
  </w:style>
  <w:style w:type="character" w:customStyle="1" w:styleId="Char0">
    <w:name w:val="رأس صفحة Char"/>
    <w:basedOn w:val="a0"/>
    <w:link w:val="a5"/>
    <w:uiPriority w:val="99"/>
    <w:rsid w:val="00D30946"/>
    <w:rPr>
      <w:rFonts w:ascii="Times New Roman" w:eastAsia="Times New Roman" w:hAnsi="Times New Roman" w:cs="Times New Roman"/>
      <w:sz w:val="24"/>
      <w:szCs w:val="24"/>
    </w:rPr>
  </w:style>
  <w:style w:type="table" w:styleId="a6">
    <w:name w:val="Table Grid"/>
    <w:basedOn w:val="a1"/>
    <w:uiPriority w:val="59"/>
    <w:rsid w:val="00D30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C4C8-02DC-4471-8042-BAA42662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dc:creator>
  <cp:keywords/>
  <dc:description/>
  <cp:lastModifiedBy>user</cp:lastModifiedBy>
  <cp:revision>8</cp:revision>
  <cp:lastPrinted>2012-10-08T07:32:00Z</cp:lastPrinted>
  <dcterms:created xsi:type="dcterms:W3CDTF">2011-12-15T08:51:00Z</dcterms:created>
  <dcterms:modified xsi:type="dcterms:W3CDTF">2012-10-08T08:56:00Z</dcterms:modified>
</cp:coreProperties>
</file>