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9E" w:rsidRPr="00E528CD" w:rsidRDefault="00ED7624" w:rsidP="004D4191">
      <w:pPr>
        <w:spacing w:after="120" w:line="360" w:lineRule="auto"/>
        <w:jc w:val="center"/>
        <w:outlineLvl w:val="1"/>
        <w:rPr>
          <w:rFonts w:ascii="Tahoma" w:hAnsi="Tahoma" w:cs="Tahoma"/>
          <w:rtl/>
        </w:rPr>
      </w:pPr>
      <w:r w:rsidRPr="00E528CD">
        <w:rPr>
          <w:rFonts w:ascii="Tahoma" w:hAnsi="Tahoma" w:cs="Tahoma"/>
          <w:rtl/>
        </w:rPr>
        <w:t>ال</w:t>
      </w:r>
      <w:r w:rsidR="0049379E" w:rsidRPr="00E528CD">
        <w:rPr>
          <w:rFonts w:ascii="Tahoma" w:hAnsi="Tahoma" w:cs="Tahoma"/>
          <w:rtl/>
        </w:rPr>
        <w:t xml:space="preserve">مفوضية </w:t>
      </w:r>
      <w:r w:rsidRPr="00E528CD">
        <w:rPr>
          <w:rFonts w:ascii="Tahoma" w:hAnsi="Tahoma" w:cs="Tahoma"/>
          <w:rtl/>
        </w:rPr>
        <w:t>الأهلية ل</w:t>
      </w:r>
      <w:r w:rsidR="0049379E" w:rsidRPr="00E528CD">
        <w:rPr>
          <w:rFonts w:ascii="Tahoma" w:hAnsi="Tahoma" w:cs="Tahoma"/>
          <w:rtl/>
        </w:rPr>
        <w:t>شفافية الانتخابات</w:t>
      </w:r>
    </w:p>
    <w:p w:rsidR="00E528CD" w:rsidRPr="008A35D1" w:rsidRDefault="00E528CD" w:rsidP="004D4191">
      <w:pPr>
        <w:spacing w:after="120" w:line="360" w:lineRule="auto"/>
        <w:jc w:val="center"/>
        <w:outlineLvl w:val="1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تعريف عام</w:t>
      </w:r>
    </w:p>
    <w:p w:rsidR="00901F34" w:rsidRPr="00B30BB2" w:rsidRDefault="0049379E" w:rsidP="000608CD">
      <w:pPr>
        <w:spacing w:line="276" w:lineRule="auto"/>
        <w:ind w:firstLine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B30BB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رغبة من جمعية الشفافية الكويتية في القيام برصد ومراقبة </w:t>
      </w:r>
      <w:r w:rsidR="000608CD" w:rsidRPr="00B30BB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 w:rsidRPr="00B30BB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انتخابات وفق أسس منهجية ومعايير علمية، </w:t>
      </w:r>
      <w:r w:rsidR="000608CD" w:rsidRPr="00B30BB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لضمان تنظيم انتخابات شفافة ونزيهة تعبر بشكل صحيح عن إرادة الناخبين، </w:t>
      </w:r>
      <w:r w:rsidRPr="00B30BB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وانطلاقا من تجربة الجمعية</w:t>
      </w:r>
      <w:r w:rsidR="00AA194C" w:rsidRPr="00B30BB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B30BB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في مراقبة انتخابات مجلس الأمة </w:t>
      </w:r>
      <w:r w:rsidR="00640F93" w:rsidRPr="00B30BB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منذ 2006م </w:t>
      </w:r>
      <w:r w:rsidR="000608CD" w:rsidRPr="00B30BB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وانتخابات محلية أخرى بالإضافة إلى المشاركة في مراقبة العديد من الانتخابات الدولية</w:t>
      </w:r>
      <w:r w:rsidRPr="00B30BB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، فقد تم اعتماد الجوانب التالية في عمل المفوضية:</w:t>
      </w:r>
    </w:p>
    <w:p w:rsidR="00DA75CD" w:rsidRPr="00B30BB2" w:rsidRDefault="00DA75CD" w:rsidP="000608CD">
      <w:pPr>
        <w:spacing w:line="276" w:lineRule="auto"/>
        <w:ind w:firstLine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:rsidR="00577854" w:rsidRPr="00B30BB2" w:rsidRDefault="00640F93" w:rsidP="00640F93">
      <w:pPr>
        <w:spacing w:line="360" w:lineRule="auto"/>
        <w:ind w:hanging="7"/>
        <w:jc w:val="lowKashida"/>
        <w:rPr>
          <w:rFonts w:asciiTheme="majorBidi" w:hAnsiTheme="majorBidi"/>
          <w:b/>
          <w:bCs/>
          <w:sz w:val="28"/>
          <w:szCs w:val="28"/>
          <w:u w:val="single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="00577854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اختصاصات</w:t>
      </w:r>
      <w:r w:rsidR="00B30BB2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 xml:space="preserve"> العامة </w:t>
      </w:r>
      <w:r w:rsidR="00577854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577854" w:rsidRPr="00B30BB2" w:rsidRDefault="00577854" w:rsidP="004F4030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مراقبة شفافية الانتخابات </w:t>
      </w:r>
      <w:r w:rsidR="00733853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العامة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والتزامها بالقوانين واللوائح المنظمة لها.</w:t>
      </w:r>
    </w:p>
    <w:p w:rsidR="004F4030" w:rsidRPr="00B30BB2" w:rsidRDefault="004F4030" w:rsidP="004F4030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التعاون مع الجهات الرسمية المعنية في تنظيم الانتخابات ليتم إنجاز عملها بأفضل شكل ممكن بالتوافق مع القوانين واللوائح المعنية.</w:t>
      </w:r>
    </w:p>
    <w:p w:rsidR="004F4030" w:rsidRPr="00B30BB2" w:rsidRDefault="004F4030" w:rsidP="004F4030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دعوة المتطوعين وتدريبهم على أعمال المفوضية. </w:t>
      </w:r>
    </w:p>
    <w:p w:rsidR="004F4030" w:rsidRPr="00B30BB2" w:rsidRDefault="004F4030" w:rsidP="004F4030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اقتراح تطوير إدارة وتنظيم الانتخابات على المستوى المحلي.</w:t>
      </w:r>
    </w:p>
    <w:p w:rsidR="004F4030" w:rsidRPr="00B30BB2" w:rsidRDefault="004F4030" w:rsidP="00525F14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التوعية العامة </w:t>
      </w:r>
      <w:r w:rsidR="00525F14" w:rsidRPr="00B30BB2">
        <w:rPr>
          <w:rFonts w:asciiTheme="majorBidi" w:hAnsiTheme="majorBidi" w:hint="cs"/>
          <w:sz w:val="28"/>
          <w:szCs w:val="28"/>
          <w:rtl/>
          <w:lang w:bidi="ar-KW"/>
        </w:rPr>
        <w:t>بشأن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الديمقراطية والممارسة الانتخابية الصحيحة.</w:t>
      </w:r>
    </w:p>
    <w:p w:rsidR="00733853" w:rsidRPr="00B30BB2" w:rsidRDefault="00733853" w:rsidP="001E5D46">
      <w:pPr>
        <w:pStyle w:val="a4"/>
        <w:numPr>
          <w:ilvl w:val="0"/>
          <w:numId w:val="8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التعاون والتنسيق مع المجتمع المدني المعني بالانتخابات محليا ودوليا.</w:t>
      </w:r>
    </w:p>
    <w:p w:rsidR="00577854" w:rsidRPr="00B30BB2" w:rsidRDefault="00577854" w:rsidP="00F06954">
      <w:pPr>
        <w:spacing w:line="276" w:lineRule="auto"/>
        <w:ind w:firstLine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:rsidR="00733853" w:rsidRPr="00B30BB2" w:rsidRDefault="00733853" w:rsidP="00640F93">
      <w:pPr>
        <w:spacing w:line="360" w:lineRule="auto"/>
        <w:ind w:hanging="7"/>
        <w:jc w:val="lowKashida"/>
        <w:rPr>
          <w:rFonts w:asciiTheme="majorBidi" w:hAnsiTheme="majorBidi"/>
          <w:b/>
          <w:bCs/>
          <w:sz w:val="28"/>
          <w:szCs w:val="28"/>
          <w:u w:val="single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 xml:space="preserve">نطاق </w:t>
      </w:r>
      <w:r w:rsidR="00640F93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عمل:</w:t>
      </w:r>
    </w:p>
    <w:p w:rsidR="00577854" w:rsidRPr="00B30BB2" w:rsidRDefault="00577854" w:rsidP="005632AF">
      <w:pPr>
        <w:spacing w:line="276" w:lineRule="auto"/>
        <w:ind w:firstLine="560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تتولى المفوضية مت</w:t>
      </w:r>
      <w:r w:rsidR="008A35D1" w:rsidRPr="00B30BB2">
        <w:rPr>
          <w:rFonts w:asciiTheme="majorBidi" w:hAnsiTheme="majorBidi" w:hint="cs"/>
          <w:sz w:val="28"/>
          <w:szCs w:val="28"/>
          <w:rtl/>
          <w:lang w:bidi="ar-KW"/>
        </w:rPr>
        <w:t>ا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بعة شفافية الانتخابات </w:t>
      </w:r>
      <w:r w:rsidR="005632AF" w:rsidRPr="00B30BB2">
        <w:rPr>
          <w:rFonts w:asciiTheme="majorBidi" w:hAnsiTheme="majorBidi" w:hint="cs"/>
          <w:sz w:val="28"/>
          <w:szCs w:val="28"/>
          <w:rtl/>
          <w:lang w:bidi="ar-KW"/>
        </w:rPr>
        <w:t>محليا ودوليا وفق ما يلي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:</w:t>
      </w:r>
    </w:p>
    <w:p w:rsidR="00577854" w:rsidRPr="00B30BB2" w:rsidRDefault="00577854" w:rsidP="00525F14">
      <w:pPr>
        <w:spacing w:line="276" w:lineRule="auto"/>
        <w:ind w:left="135" w:hanging="7"/>
        <w:jc w:val="lowKashida"/>
        <w:rPr>
          <w:rFonts w:asciiTheme="majorBidi" w:hAnsiTheme="majorBidi"/>
          <w:b/>
          <w:bCs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rtl/>
          <w:lang w:bidi="ar-KW"/>
        </w:rPr>
        <w:t xml:space="preserve">أولا - محليا: </w:t>
      </w:r>
    </w:p>
    <w:p w:rsidR="00577854" w:rsidRPr="00B30BB2" w:rsidRDefault="004F4030" w:rsidP="004F4030">
      <w:pPr>
        <w:pStyle w:val="a4"/>
        <w:numPr>
          <w:ilvl w:val="0"/>
          <w:numId w:val="7"/>
        </w:numPr>
        <w:spacing w:line="276" w:lineRule="auto"/>
        <w:ind w:left="985" w:hanging="425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انتخابات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العامة البرلمانية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والبلدي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ة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577854" w:rsidRPr="00B30BB2" w:rsidRDefault="004F4030" w:rsidP="004F4030">
      <w:pPr>
        <w:pStyle w:val="a4"/>
        <w:numPr>
          <w:ilvl w:val="0"/>
          <w:numId w:val="7"/>
        </w:numPr>
        <w:spacing w:line="276" w:lineRule="auto"/>
        <w:ind w:left="985" w:hanging="425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انتخابات الجمعيات التعاونية و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>جمعيات النفع العام وما في حكما.</w:t>
      </w:r>
    </w:p>
    <w:p w:rsidR="00577854" w:rsidRPr="00B30BB2" w:rsidRDefault="00577854" w:rsidP="004F4030">
      <w:pPr>
        <w:pStyle w:val="a4"/>
        <w:numPr>
          <w:ilvl w:val="0"/>
          <w:numId w:val="7"/>
        </w:numPr>
        <w:spacing w:line="276" w:lineRule="auto"/>
        <w:ind w:left="985" w:hanging="425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أي انتخابات أخرى محلية</w:t>
      </w:r>
      <w:r w:rsidR="005632AF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ترى المفوضية المشاركة في م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>راقب</w:t>
      </w:r>
      <w:r w:rsidR="005632AF" w:rsidRPr="00B30BB2">
        <w:rPr>
          <w:rFonts w:asciiTheme="majorBidi" w:hAnsiTheme="majorBidi" w:hint="cs"/>
          <w:sz w:val="28"/>
          <w:szCs w:val="28"/>
          <w:rtl/>
          <w:lang w:bidi="ar-KW"/>
        </w:rPr>
        <w:t>تها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4F4030" w:rsidRPr="00B30BB2" w:rsidRDefault="00577854" w:rsidP="00525F14">
      <w:pPr>
        <w:spacing w:line="276" w:lineRule="auto"/>
        <w:ind w:left="135" w:hanging="7"/>
        <w:jc w:val="lowKashida"/>
        <w:rPr>
          <w:rFonts w:asciiTheme="majorBidi" w:hAnsiTheme="majorBidi"/>
          <w:b/>
          <w:bCs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rtl/>
          <w:lang w:bidi="ar-KW"/>
        </w:rPr>
        <w:t>ثانيا - دوليا:</w:t>
      </w:r>
      <w:r w:rsidR="005632AF" w:rsidRPr="00B30BB2">
        <w:rPr>
          <w:rFonts w:asciiTheme="majorBidi" w:hAnsiTheme="majorBidi" w:hint="cs"/>
          <w:b/>
          <w:bCs/>
          <w:sz w:val="28"/>
          <w:szCs w:val="28"/>
          <w:rtl/>
          <w:lang w:bidi="ar-KW"/>
        </w:rPr>
        <w:t xml:space="preserve"> </w:t>
      </w:r>
    </w:p>
    <w:p w:rsidR="00577854" w:rsidRPr="00B30BB2" w:rsidRDefault="005632AF" w:rsidP="004F4030">
      <w:pPr>
        <w:spacing w:line="276" w:lineRule="auto"/>
        <w:ind w:left="560" w:hanging="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بهدف كسب الخبرات، وتلبية لدعوات دولية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بشأن مراقبة الانتخابات </w:t>
      </w:r>
      <w:r w:rsidR="00200E7A" w:rsidRPr="00B30BB2">
        <w:rPr>
          <w:rFonts w:asciiTheme="majorBidi" w:hAnsiTheme="majorBidi" w:hint="cs"/>
          <w:sz w:val="28"/>
          <w:szCs w:val="28"/>
          <w:rtl/>
          <w:lang w:bidi="ar-KW"/>
        </w:rPr>
        <w:t>للاطمئنان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على نزاهتها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، يمكن للمفوضية المشاركة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-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لوحدها أو بالتعاون مع منظمات أهلية أخرى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-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في متابعة الانتخابات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>في دول أخرى مثل:</w:t>
      </w:r>
    </w:p>
    <w:p w:rsidR="00577854" w:rsidRPr="00B30BB2" w:rsidRDefault="005632AF" w:rsidP="004F4030">
      <w:pPr>
        <w:pStyle w:val="a4"/>
        <w:numPr>
          <w:ilvl w:val="0"/>
          <w:numId w:val="7"/>
        </w:numPr>
        <w:spacing w:line="276" w:lineRule="auto"/>
        <w:ind w:left="985" w:hanging="425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انتخابات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>رئاسية.</w:t>
      </w:r>
    </w:p>
    <w:p w:rsidR="00577854" w:rsidRDefault="005632AF" w:rsidP="004F4030">
      <w:pPr>
        <w:pStyle w:val="a4"/>
        <w:numPr>
          <w:ilvl w:val="0"/>
          <w:numId w:val="7"/>
        </w:numPr>
        <w:spacing w:line="276" w:lineRule="auto"/>
        <w:ind w:left="985" w:hanging="425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انتخابات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البرلمانية</w:t>
      </w:r>
      <w:r w:rsidR="00577854"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B30BB2" w:rsidRPr="00B30BB2" w:rsidRDefault="00B30BB2" w:rsidP="00B30BB2">
      <w:pPr>
        <w:pStyle w:val="a4"/>
        <w:spacing w:line="276" w:lineRule="auto"/>
        <w:ind w:left="985"/>
        <w:jc w:val="lowKashida"/>
        <w:rPr>
          <w:rFonts w:asciiTheme="majorBidi" w:hAnsiTheme="majorBidi"/>
          <w:sz w:val="28"/>
          <w:szCs w:val="28"/>
          <w:lang w:bidi="ar-KW"/>
        </w:rPr>
      </w:pPr>
    </w:p>
    <w:p w:rsidR="00577854" w:rsidRPr="00B30BB2" w:rsidRDefault="00640F93" w:rsidP="00640F93">
      <w:pPr>
        <w:spacing w:line="360" w:lineRule="auto"/>
        <w:ind w:hanging="7"/>
        <w:jc w:val="lowKashida"/>
        <w:rPr>
          <w:rFonts w:asciiTheme="majorBidi" w:hAnsiTheme="majorBidi"/>
          <w:b/>
          <w:bCs/>
          <w:sz w:val="28"/>
          <w:szCs w:val="28"/>
          <w:u w:val="single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="00733853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سياسات:</w:t>
      </w:r>
    </w:p>
    <w:p w:rsidR="004F4030" w:rsidRPr="00B30BB2" w:rsidRDefault="004F4030" w:rsidP="004F4030">
      <w:pPr>
        <w:pStyle w:val="a4"/>
        <w:numPr>
          <w:ilvl w:val="0"/>
          <w:numId w:val="10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lastRenderedPageBreak/>
        <w:t>الالتزام بالمعايير الدولية لقواعد سلوك مراقبي الانتخابات المحلية والتوقيع عليها من جانب كل المتطوعين في أعمال المفوضية.</w:t>
      </w:r>
    </w:p>
    <w:p w:rsidR="004F4030" w:rsidRPr="00B30BB2" w:rsidRDefault="004F4030" w:rsidP="004F4030">
      <w:pPr>
        <w:pStyle w:val="a4"/>
        <w:numPr>
          <w:ilvl w:val="0"/>
          <w:numId w:val="10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مراقبة الانتخابات تكون بموافقة الجهة الداعية / المنظمة لها.</w:t>
      </w:r>
    </w:p>
    <w:p w:rsidR="004F4030" w:rsidRPr="00B30BB2" w:rsidRDefault="004F4030" w:rsidP="004F4030">
      <w:pPr>
        <w:pStyle w:val="a4"/>
        <w:numPr>
          <w:ilvl w:val="0"/>
          <w:numId w:val="10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إعداد تقرير فني ومالي بعد كل انتخابات تتم متابعتها، ونشر التقرير الفني إعلاميا، على أن ينشر التقرير المالي ضمن التقرير السنوي للجمعية.</w:t>
      </w:r>
    </w:p>
    <w:p w:rsidR="001774FC" w:rsidRPr="00B30BB2" w:rsidRDefault="001774FC" w:rsidP="00B4672A">
      <w:pPr>
        <w:pStyle w:val="a4"/>
        <w:numPr>
          <w:ilvl w:val="0"/>
          <w:numId w:val="10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التعاون والتنسيق مع المنظمات الدولية في </w:t>
      </w:r>
      <w:r w:rsidR="00B4672A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مراقبة الانتخابات الدولية وفي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نقل الخبرات والتجارب</w:t>
      </w:r>
      <w:r w:rsidR="00B4672A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للكويت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733853" w:rsidRPr="00B30BB2" w:rsidRDefault="00733853" w:rsidP="00B4672A">
      <w:pPr>
        <w:pStyle w:val="a4"/>
        <w:numPr>
          <w:ilvl w:val="0"/>
          <w:numId w:val="10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الالتزام بالمعاي</w:t>
      </w:r>
      <w:r w:rsidR="001774FC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ير الدولية </w:t>
      </w:r>
      <w:r w:rsidR="00B4672A" w:rsidRPr="00B30BB2">
        <w:rPr>
          <w:rFonts w:asciiTheme="majorBidi" w:hAnsiTheme="majorBidi" w:hint="cs"/>
          <w:sz w:val="28"/>
          <w:szCs w:val="28"/>
          <w:rtl/>
          <w:lang w:bidi="ar-KW"/>
        </w:rPr>
        <w:t>ل</w:t>
      </w:r>
      <w:r w:rsidR="001774FC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مراقبة الانتخابات </w:t>
      </w:r>
      <w:r w:rsidR="00B4672A" w:rsidRPr="00B30BB2">
        <w:rPr>
          <w:rFonts w:asciiTheme="majorBidi" w:hAnsiTheme="majorBidi" w:hint="cs"/>
          <w:sz w:val="28"/>
          <w:szCs w:val="28"/>
          <w:rtl/>
          <w:lang w:bidi="ar-KW"/>
        </w:rPr>
        <w:t>خلال المشاركات الخارجية</w:t>
      </w:r>
      <w:r w:rsidR="001774FC"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733853" w:rsidRPr="00B30BB2" w:rsidRDefault="00733853" w:rsidP="00F06954">
      <w:pPr>
        <w:spacing w:line="276" w:lineRule="auto"/>
        <w:ind w:firstLine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:rsidR="00733853" w:rsidRPr="00B30BB2" w:rsidRDefault="00640F93" w:rsidP="00640F93">
      <w:pPr>
        <w:spacing w:line="360" w:lineRule="auto"/>
        <w:ind w:hanging="7"/>
        <w:jc w:val="lowKashida"/>
        <w:rPr>
          <w:rFonts w:asciiTheme="majorBidi" w:hAnsiTheme="majorBidi"/>
          <w:b/>
          <w:bCs/>
          <w:sz w:val="28"/>
          <w:szCs w:val="28"/>
          <w:u w:val="single"/>
          <w:rtl/>
          <w:lang w:bidi="ar-KW"/>
        </w:rPr>
      </w:pP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="00733853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إدار</w:t>
      </w:r>
      <w:r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ة</w:t>
      </w:r>
      <w:r w:rsidR="00733853" w:rsidRPr="00B30BB2">
        <w:rPr>
          <w:rFonts w:asciiTheme="majorBidi" w:hAnsiTheme="majorBidi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733853" w:rsidRPr="00B30BB2" w:rsidRDefault="00733853" w:rsidP="001774FC">
      <w:pPr>
        <w:pStyle w:val="a4"/>
        <w:numPr>
          <w:ilvl w:val="0"/>
          <w:numId w:val="9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يتولى إدارة المفوضية (هيئة رقابية) تتكون من سبعة أعضاء</w:t>
      </w:r>
      <w:r w:rsidR="000608CD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يختارهم مجلس إدارة </w:t>
      </w:r>
      <w:r w:rsidR="001774FC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الجمعية </w:t>
      </w:r>
      <w:r w:rsidR="000608CD" w:rsidRPr="00B30BB2">
        <w:rPr>
          <w:rFonts w:asciiTheme="majorBidi" w:hAnsiTheme="majorBidi" w:hint="cs"/>
          <w:sz w:val="28"/>
          <w:szCs w:val="28"/>
          <w:rtl/>
          <w:lang w:bidi="ar-KW"/>
        </w:rPr>
        <w:t>سنويا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733853" w:rsidRPr="00B30BB2" w:rsidRDefault="00733853" w:rsidP="000608CD">
      <w:pPr>
        <w:pStyle w:val="a4"/>
        <w:numPr>
          <w:ilvl w:val="0"/>
          <w:numId w:val="9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تعقد الهيئة أربع اجتماعات في السنة على الأقل.</w:t>
      </w:r>
    </w:p>
    <w:p w:rsidR="00733853" w:rsidRPr="00B30BB2" w:rsidRDefault="00733853" w:rsidP="000608CD">
      <w:pPr>
        <w:pStyle w:val="a4"/>
        <w:numPr>
          <w:ilvl w:val="0"/>
          <w:numId w:val="9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تكون الهيئة في حال انعقاد دائم في فترة الانتخابات البرلمانية والبلدية </w:t>
      </w:r>
      <w:r w:rsidR="001774FC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المحلية 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(شهرين)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التي يتقرر مراقبتها</w:t>
      </w: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.</w:t>
      </w:r>
    </w:p>
    <w:p w:rsidR="00733853" w:rsidRPr="00B30BB2" w:rsidRDefault="00733853" w:rsidP="004F4030">
      <w:pPr>
        <w:pStyle w:val="a4"/>
        <w:numPr>
          <w:ilvl w:val="0"/>
          <w:numId w:val="9"/>
        </w:numPr>
        <w:spacing w:line="276" w:lineRule="auto"/>
        <w:ind w:left="560" w:hanging="567"/>
        <w:jc w:val="lowKashida"/>
        <w:rPr>
          <w:rFonts w:asciiTheme="majorBidi" w:hAnsiTheme="majorBidi"/>
          <w:sz w:val="28"/>
          <w:szCs w:val="28"/>
          <w:rtl/>
          <w:lang w:bidi="ar-KW"/>
        </w:rPr>
      </w:pPr>
      <w:r w:rsidRPr="00B30BB2">
        <w:rPr>
          <w:rFonts w:asciiTheme="majorBidi" w:hAnsiTheme="majorBidi" w:hint="cs"/>
          <w:sz w:val="28"/>
          <w:szCs w:val="28"/>
          <w:rtl/>
          <w:lang w:bidi="ar-KW"/>
        </w:rPr>
        <w:t>يجوز ل</w:t>
      </w:r>
      <w:r w:rsidR="000608CD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لهيئة تكليف لجنة تنفيذية لمراقبة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>ال</w:t>
      </w:r>
      <w:r w:rsidR="000608CD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انتخابات </w:t>
      </w:r>
      <w:r w:rsidR="004F4030" w:rsidRPr="00B30BB2">
        <w:rPr>
          <w:rFonts w:asciiTheme="majorBidi" w:hAnsiTheme="majorBidi" w:hint="cs"/>
          <w:sz w:val="28"/>
          <w:szCs w:val="28"/>
          <w:rtl/>
          <w:lang w:bidi="ar-KW"/>
        </w:rPr>
        <w:t>الجزئية - غير مجلس الأمة والمجلس البلدي -</w:t>
      </w:r>
      <w:r w:rsidR="000608CD" w:rsidRPr="00B30BB2">
        <w:rPr>
          <w:rFonts w:asciiTheme="majorBidi" w:hAnsiTheme="majorBidi" w:hint="cs"/>
          <w:sz w:val="28"/>
          <w:szCs w:val="28"/>
          <w:rtl/>
          <w:lang w:bidi="ar-KW"/>
        </w:rPr>
        <w:t xml:space="preserve"> من بين أعضائها ومن غيرهم.</w:t>
      </w:r>
    </w:p>
    <w:p w:rsidR="000608CD" w:rsidRPr="00B30BB2" w:rsidRDefault="000608CD" w:rsidP="00F06954">
      <w:pPr>
        <w:spacing w:line="276" w:lineRule="auto"/>
        <w:ind w:firstLine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:rsidR="004D4191" w:rsidRPr="00B30BB2" w:rsidRDefault="004D4191" w:rsidP="009D7B5F">
      <w:pPr>
        <w:spacing w:line="480" w:lineRule="auto"/>
        <w:ind w:hanging="7"/>
        <w:jc w:val="lowKashida"/>
        <w:rPr>
          <w:rFonts w:asciiTheme="majorBidi" w:hAnsiTheme="majorBidi"/>
          <w:b/>
          <w:bCs/>
          <w:sz w:val="28"/>
          <w:szCs w:val="28"/>
          <w:u w:val="single"/>
          <w:rtl/>
          <w:lang w:bidi="ar-KW"/>
        </w:rPr>
      </w:pPr>
    </w:p>
    <w:sectPr w:rsidR="004D4191" w:rsidRPr="00B30BB2" w:rsidSect="004F4030">
      <w:headerReference w:type="default" r:id="rId8"/>
      <w:pgSz w:w="12240" w:h="15840"/>
      <w:pgMar w:top="1379" w:right="1800" w:bottom="993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7A" w:rsidRDefault="00882C7A" w:rsidP="006D6B7D">
      <w:r>
        <w:separator/>
      </w:r>
    </w:p>
  </w:endnote>
  <w:endnote w:type="continuationSeparator" w:id="1">
    <w:p w:rsidR="00882C7A" w:rsidRDefault="00882C7A" w:rsidP="006D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7A" w:rsidRDefault="00882C7A" w:rsidP="006D6B7D">
      <w:r>
        <w:separator/>
      </w:r>
    </w:p>
  </w:footnote>
  <w:footnote w:type="continuationSeparator" w:id="1">
    <w:p w:rsidR="00882C7A" w:rsidRDefault="00882C7A" w:rsidP="006D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7D" w:rsidRDefault="006D6B7D" w:rsidP="00200E7A">
    <w:pPr>
      <w:pStyle w:val="a5"/>
      <w:tabs>
        <w:tab w:val="clear" w:pos="8306"/>
      </w:tabs>
      <w:rPr>
        <w:rtl/>
      </w:rPr>
    </w:pPr>
  </w:p>
  <w:tbl>
    <w:tblPr>
      <w:tblStyle w:val="a7"/>
      <w:bidiVisual/>
      <w:tblW w:w="8890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40"/>
      <w:gridCol w:w="4650"/>
    </w:tblGrid>
    <w:tr w:rsidR="006D6B7D" w:rsidTr="00640F93">
      <w:trPr>
        <w:trHeight w:val="694"/>
      </w:trPr>
      <w:tc>
        <w:tcPr>
          <w:tcW w:w="4240" w:type="dxa"/>
        </w:tcPr>
        <w:p w:rsidR="006D6B7D" w:rsidRDefault="006D6B7D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2536161" cy="439479"/>
                <wp:effectExtent l="19050" t="0" r="0" b="0"/>
                <wp:docPr id="1" name="صورة 1" descr="D:\الشعار\KTS LOGO CMYK[1]3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الشعار\KTS LOGO CMYK[1]3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508" cy="439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</w:tcPr>
        <w:p w:rsidR="006D6B7D" w:rsidRDefault="006D6B7D" w:rsidP="00640F93">
          <w:pPr>
            <w:pStyle w:val="a5"/>
            <w:tabs>
              <w:tab w:val="clear" w:pos="4153"/>
              <w:tab w:val="clear" w:pos="8306"/>
            </w:tabs>
            <w:bidi w:val="0"/>
            <w:rPr>
              <w:b/>
              <w:bCs/>
              <w:color w:val="0070C0"/>
            </w:rPr>
          </w:pPr>
          <w:r>
            <w:rPr>
              <w:noProof/>
            </w:rPr>
            <w:drawing>
              <wp:inline distT="0" distB="0" distL="0" distR="0">
                <wp:extent cx="1809750" cy="442672"/>
                <wp:effectExtent l="19050" t="0" r="0" b="0"/>
                <wp:docPr id="2" name="صورة 2" descr="D:\الشعار\TI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الشعار\TI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372" cy="448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0F93" w:rsidRPr="00640F93" w:rsidRDefault="00640F93" w:rsidP="00640F93">
          <w:pPr>
            <w:pStyle w:val="a5"/>
            <w:tabs>
              <w:tab w:val="clear" w:pos="4153"/>
              <w:tab w:val="clear" w:pos="8306"/>
            </w:tabs>
            <w:bidi w:val="0"/>
            <w:ind w:left="1027"/>
            <w:rPr>
              <w:rFonts w:ascii="Wide Latin" w:hAnsi="Wide Latin"/>
            </w:rPr>
          </w:pPr>
          <w:r w:rsidRPr="00640F93">
            <w:rPr>
              <w:rFonts w:ascii="Wide Latin" w:hAnsi="Wide Latin"/>
              <w:color w:val="0070C0"/>
            </w:rPr>
            <w:t>Kuwait</w:t>
          </w:r>
        </w:p>
      </w:tc>
    </w:tr>
  </w:tbl>
  <w:p w:rsidR="006D6B7D" w:rsidRDefault="006D6B7D">
    <w:pPr>
      <w:pStyle w:val="a5"/>
    </w:pPr>
  </w:p>
  <w:p w:rsidR="006D6B7D" w:rsidRDefault="006D6B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850"/>
    <w:multiLevelType w:val="hybridMultilevel"/>
    <w:tmpl w:val="B6045798"/>
    <w:lvl w:ilvl="0" w:tplc="04090011">
      <w:start w:val="1"/>
      <w:numFmt w:val="decimal"/>
      <w:lvlText w:val="%1)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1EA306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FF6575"/>
    <w:multiLevelType w:val="hybridMultilevel"/>
    <w:tmpl w:val="F00A53A8"/>
    <w:lvl w:ilvl="0" w:tplc="04090011">
      <w:start w:val="1"/>
      <w:numFmt w:val="decimal"/>
      <w:lvlText w:val="%1)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8CD79F5"/>
    <w:multiLevelType w:val="hybridMultilevel"/>
    <w:tmpl w:val="DFF0B036"/>
    <w:lvl w:ilvl="0" w:tplc="04090011">
      <w:start w:val="1"/>
      <w:numFmt w:val="decimal"/>
      <w:lvlText w:val="%1)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36353DFA"/>
    <w:multiLevelType w:val="hybridMultilevel"/>
    <w:tmpl w:val="AA90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4EF8"/>
    <w:multiLevelType w:val="hybridMultilevel"/>
    <w:tmpl w:val="1110086C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C82A9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A33FF"/>
    <w:multiLevelType w:val="hybridMultilevel"/>
    <w:tmpl w:val="4D8E9458"/>
    <w:lvl w:ilvl="0" w:tplc="B9FEB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905CD"/>
    <w:multiLevelType w:val="hybridMultilevel"/>
    <w:tmpl w:val="8C7CE464"/>
    <w:lvl w:ilvl="0" w:tplc="04090011">
      <w:start w:val="1"/>
      <w:numFmt w:val="decimal"/>
      <w:lvlText w:val="%1)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>
    <w:nsid w:val="5B546D31"/>
    <w:multiLevelType w:val="hybridMultilevel"/>
    <w:tmpl w:val="D5746334"/>
    <w:lvl w:ilvl="0" w:tplc="3948F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00AFD"/>
    <w:multiLevelType w:val="hybridMultilevel"/>
    <w:tmpl w:val="8F94B0A6"/>
    <w:lvl w:ilvl="0" w:tplc="D0BC6038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20369"/>
    <w:multiLevelType w:val="hybridMultilevel"/>
    <w:tmpl w:val="856C1F28"/>
    <w:lvl w:ilvl="0" w:tplc="8EFA889E">
      <w:start w:val="1"/>
      <w:numFmt w:val="decimal"/>
      <w:lvlText w:val="%1)"/>
      <w:lvlJc w:val="left"/>
      <w:pPr>
        <w:ind w:left="1280" w:hanging="360"/>
      </w:pPr>
      <w:rPr>
        <w:lang w:bidi="ar-KW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79E"/>
    <w:rsid w:val="00006492"/>
    <w:rsid w:val="00012F05"/>
    <w:rsid w:val="000608CD"/>
    <w:rsid w:val="00152102"/>
    <w:rsid w:val="0016169B"/>
    <w:rsid w:val="001774FC"/>
    <w:rsid w:val="001D4325"/>
    <w:rsid w:val="001E5D46"/>
    <w:rsid w:val="00200E7A"/>
    <w:rsid w:val="002D24ED"/>
    <w:rsid w:val="003E454E"/>
    <w:rsid w:val="00402A16"/>
    <w:rsid w:val="00405F5B"/>
    <w:rsid w:val="004806F9"/>
    <w:rsid w:val="0049379E"/>
    <w:rsid w:val="004B2C27"/>
    <w:rsid w:val="004B5838"/>
    <w:rsid w:val="004D4191"/>
    <w:rsid w:val="004D52B2"/>
    <w:rsid w:val="004F4030"/>
    <w:rsid w:val="0051521B"/>
    <w:rsid w:val="00525F14"/>
    <w:rsid w:val="005632AF"/>
    <w:rsid w:val="005677CA"/>
    <w:rsid w:val="00577854"/>
    <w:rsid w:val="005B3B62"/>
    <w:rsid w:val="00640F93"/>
    <w:rsid w:val="006A76C3"/>
    <w:rsid w:val="006D6B7D"/>
    <w:rsid w:val="0071226C"/>
    <w:rsid w:val="00733853"/>
    <w:rsid w:val="00745AC1"/>
    <w:rsid w:val="007A7105"/>
    <w:rsid w:val="007E29FE"/>
    <w:rsid w:val="00847C9B"/>
    <w:rsid w:val="00882C7A"/>
    <w:rsid w:val="008A35D1"/>
    <w:rsid w:val="00901F34"/>
    <w:rsid w:val="00912DC0"/>
    <w:rsid w:val="009D7B5F"/>
    <w:rsid w:val="009F4BAF"/>
    <w:rsid w:val="00A76167"/>
    <w:rsid w:val="00A91C8B"/>
    <w:rsid w:val="00AA194C"/>
    <w:rsid w:val="00B159FC"/>
    <w:rsid w:val="00B20AD9"/>
    <w:rsid w:val="00B30BB2"/>
    <w:rsid w:val="00B4672A"/>
    <w:rsid w:val="00B64901"/>
    <w:rsid w:val="00B77A10"/>
    <w:rsid w:val="00C01FEB"/>
    <w:rsid w:val="00C63100"/>
    <w:rsid w:val="00CA671D"/>
    <w:rsid w:val="00D232B4"/>
    <w:rsid w:val="00D534E9"/>
    <w:rsid w:val="00D63356"/>
    <w:rsid w:val="00DA75CD"/>
    <w:rsid w:val="00DB1C95"/>
    <w:rsid w:val="00DD2C3E"/>
    <w:rsid w:val="00DD7C64"/>
    <w:rsid w:val="00DE79C3"/>
    <w:rsid w:val="00E528CD"/>
    <w:rsid w:val="00EA0998"/>
    <w:rsid w:val="00EA0F72"/>
    <w:rsid w:val="00ED7624"/>
    <w:rsid w:val="00F06954"/>
    <w:rsid w:val="00FB6C72"/>
    <w:rsid w:val="00F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7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79E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F0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D6B7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6D6B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6D6B7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6D6B7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D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C4C8-02DC-4471-8042-BAA4266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user</cp:lastModifiedBy>
  <cp:revision>16</cp:revision>
  <cp:lastPrinted>2012-10-08T08:41:00Z</cp:lastPrinted>
  <dcterms:created xsi:type="dcterms:W3CDTF">2012-07-08T06:20:00Z</dcterms:created>
  <dcterms:modified xsi:type="dcterms:W3CDTF">2012-10-08T08:55:00Z</dcterms:modified>
</cp:coreProperties>
</file>